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Załącznik do uchwały nr 10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Komitetu Rady Ministrów do Spraw Cyfryzacji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 dnia 16 kwietnia 2020 r. 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agwek1"/>
        <w:spacing w:lineRule="auto" w:line="240" w:before="0" w:after="120"/>
        <w:jc w:val="center"/>
        <w:rPr>
          <w:rFonts w:ascii="Arial" w:hAnsi="Arial" w:cs="Arial"/>
          <w:b/>
          <w:b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 xml:space="preserve">Raportu z postępu rzeczowo-finansowego projektu informatycznego </w:t>
      </w:r>
    </w:p>
    <w:p>
      <w:pPr>
        <w:pStyle w:val="Nagwek1"/>
        <w:spacing w:lineRule="auto" w:line="240" w:before="0" w:after="120"/>
        <w:jc w:val="center"/>
        <w:rPr>
          <w:rFonts w:ascii="Arial" w:hAnsi="Arial" w:cs="Arial"/>
          <w:b/>
          <w:b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>za III kwartał 2020 roku</w:t>
      </w:r>
    </w:p>
    <w:p>
      <w:pPr>
        <w:pStyle w:val="Normal"/>
        <w:spacing w:before="0" w:after="360"/>
        <w:jc w:val="center"/>
        <w:rPr>
          <w:rFonts w:ascii="Arial" w:hAnsi="Arial" w:cs="Arial"/>
        </w:rPr>
      </w:pPr>
      <w:r>
        <w:rPr>
          <w:rFonts w:cs="Arial" w:ascii="Arial" w:hAnsi="Arial"/>
        </w:rPr>
        <w:t>(dane należy wskazać w zakresie odnoszącym się do okresu sprawozdawczego)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692"/>
        <w:gridCol w:w="6381"/>
      </w:tblGrid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i/>
                <w:i/>
                <w:color w:val="0070C0"/>
                <w:sz w:val="20"/>
              </w:rPr>
            </w:pPr>
            <w:r>
              <w:rPr>
                <w:rFonts w:cs="Arial" w:ascii="Arial" w:hAnsi="Arial"/>
                <w:i/>
                <w:sz w:val="20"/>
              </w:rPr>
              <w:t>Cyfrowe udostępnienie zasobów Muzeum Sztuki w Łodzi</w:t>
            </w:r>
            <w:bookmarkStart w:id="0" w:name="_GoBack"/>
            <w:bookmarkEnd w:id="0"/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Minister Kultury, Dziedzictwa Narodowego i Sportu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Muzeum Sztuki w Łodzi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i/>
                <w:i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i/>
                <w:color w:val="0070C0"/>
                <w:sz w:val="18"/>
                <w:szCs w:val="18"/>
              </w:rPr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Całkowity koszt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4 994 130,11 zł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4 432 737,49 zł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Okres realizacji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Arial" w:hAnsi="Arial" w:cs="Arial"/>
                <w:i/>
                <w:i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01.08.2020 – 31.07.2023 r.</w:t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0"/>
        <w:ind w:left="284" w:right="282" w:hanging="284"/>
        <w:rPr>
          <w:rFonts w:ascii="Arial" w:hAnsi="Arial" w:cs="Arial"/>
          <w:b/>
          <w:b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 xml:space="preserve">Otoczenie prawne </w:t>
      </w:r>
      <w:r>
        <w:rPr>
          <w:rFonts w:eastAsia="Calibri" w:cs="Arial" w:ascii="Arial" w:hAnsi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>
      <w:pPr>
        <w:pStyle w:val="Nagwek3"/>
        <w:spacing w:before="40" w:after="360"/>
        <w:ind w:left="284" w:hanging="284"/>
        <w:rPr>
          <w:rFonts w:ascii="Arial" w:hAnsi="Arial" w:eastAsia="Calibri" w:cs="Arial" w:eastAsiaTheme="minorHAnsi"/>
          <w:color w:val="767171" w:themeColor="background2" w:themeShade="80"/>
          <w:sz w:val="18"/>
          <w:szCs w:val="18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ab/>
      </w:r>
      <w:r>
        <w:rPr>
          <w:rFonts w:cs="Arial" w:ascii="Arial" w:hAnsi="Arial"/>
          <w:color w:val="auto"/>
          <w:sz w:val="18"/>
          <w:szCs w:val="18"/>
        </w:rPr>
        <w:t>Nie dotyczy</w:t>
      </w:r>
      <w:r>
        <w:rPr>
          <w:rFonts w:eastAsia="Calibri" w:cs="Arial" w:ascii="Arial" w:hAnsi="Arial" w:eastAsiaTheme="minorHAnsi"/>
          <w:color w:val="auto"/>
          <w:sz w:val="18"/>
          <w:szCs w:val="18"/>
        </w:rPr>
        <w:t>.</w:t>
      </w:r>
    </w:p>
    <w:p>
      <w:pPr>
        <w:pStyle w:val="Nagwek2"/>
        <w:numPr>
          <w:ilvl w:val="0"/>
          <w:numId w:val="1"/>
        </w:numPr>
        <w:ind w:left="426" w:hanging="426"/>
        <w:rPr>
          <w:rFonts w:ascii="Arial" w:hAnsi="Arial" w:eastAsia="Calibri" w:cs="Arial" w:eastAsiaTheme="minorHAnsi"/>
          <w:b/>
          <w:b/>
          <w:i/>
          <w:i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3260"/>
        <w:gridCol w:w="3402"/>
      </w:tblGrid>
      <w:tr>
        <w:trPr>
          <w:tblHeader w:val="true"/>
        </w:trPr>
        <w:tc>
          <w:tcPr>
            <w:tcW w:w="297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rPr/>
        <w:tc>
          <w:tcPr>
            <w:tcW w:w="29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cs="Calibri" w:ascii="Arial" w:hAnsi="Arial"/>
                <w:sz w:val="22"/>
                <w:szCs w:val="22"/>
              </w:rPr>
              <w:t>8,3 %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0</w:t>
            </w:r>
          </w:p>
        </w:tc>
        <w:tc>
          <w:tcPr>
            <w:tcW w:w="34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0</w:t>
            </w:r>
          </w:p>
        </w:tc>
      </w:tr>
    </w:tbl>
    <w:p>
      <w:pPr>
        <w:pStyle w:val="Nagwek3"/>
        <w:spacing w:before="40" w:after="200"/>
        <w:rPr>
          <w:rStyle w:val="Nagwek2Znak"/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Fonts w:eastAsia="Calibri" w:cs="Arial" w:eastAsiaTheme="minorHAnsi" w:ascii="Arial" w:hAnsi="Arial"/>
          <w:color w:val="767171" w:themeColor="background2" w:themeShade="80"/>
          <w:sz w:val="20"/>
          <w:szCs w:val="20"/>
        </w:rPr>
      </w:r>
    </w:p>
    <w:p>
      <w:pPr>
        <w:pStyle w:val="Nagwek3"/>
        <w:numPr>
          <w:ilvl w:val="0"/>
          <w:numId w:val="1"/>
        </w:numPr>
        <w:spacing w:before="40" w:after="200"/>
        <w:ind w:left="426" w:hanging="426"/>
        <w:rPr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Postęp rzeczowy</w:t>
      </w:r>
      <w:r>
        <w:rPr>
          <w:rFonts w:cs="Arial" w:ascii="Arial" w:hAnsi="Arial"/>
          <w:color w:val="auto"/>
        </w:rPr>
        <w:t xml:space="preserve"> </w:t>
      </w:r>
      <w:r>
        <w:rPr>
          <w:rFonts w:eastAsia="Calibri" w:cs="Arial" w:ascii="Arial" w:hAnsi="Arial" w:eastAsiaTheme="minorHAnsi"/>
          <w:color w:val="767171" w:themeColor="background2" w:themeShade="80"/>
          <w:sz w:val="20"/>
          <w:szCs w:val="20"/>
        </w:rPr>
        <w:t>&lt;maksymalnie 5000 znaków&gt;</w:t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4"/>
        <w:gridCol w:w="1505"/>
        <w:gridCol w:w="1306"/>
        <w:gridCol w:w="1908"/>
        <w:gridCol w:w="2796"/>
      </w:tblGrid>
      <w:tr>
        <w:trPr>
          <w:tblHeader w:val="true"/>
        </w:trPr>
        <w:tc>
          <w:tcPr>
            <w:tcW w:w="2124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cs="Arial" w:ascii="Arial" w:hAnsi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8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6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rPr/>
        <w:tc>
          <w:tcPr>
            <w:tcW w:w="21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Opracowanie Studium Wykonalności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Adaptacja serwerowni i zakup wyposażenia – 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Zakup i zainstalowanie nowego programu do ewidencji zasobów – 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Zakończenie prac programistycznych dotyczących portalu on-line-protokół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Zakup sprzętu i oprogramowania do pracowni digitalizacji – 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Digitalizacja zasobów </w:t>
            </w:r>
            <w:r>
              <w:rPr>
                <w:rFonts w:cs="Arial" w:ascii="Arial" w:hAnsi="Arial"/>
                <w:sz w:val="18"/>
                <w:szCs w:val="18"/>
              </w:rPr>
              <w:t>- raport końcowy podsumowujący realizację projektu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Upowszechnianie zdigitalizowanych zasobów </w:t>
            </w: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cs="Arial" w:ascii="Arial" w:hAnsi="Arial"/>
                <w:sz w:val="18"/>
                <w:szCs w:val="18"/>
              </w:rPr>
              <w:t>Spotkanie podsumowujące/ upowszechniające platformę - Raport końcowe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Konferencja podsumowująca projekt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Raport podsumowujący działania informacyjno/promocyjne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cs="Arial" w:ascii="Arial" w:hAnsi="Arial"/>
                <w:sz w:val="18"/>
                <w:szCs w:val="18"/>
              </w:rPr>
              <w:t xml:space="preserve">Liczba pracowni doposażonych w sprzęt do digitalizacji – </w:t>
            </w:r>
            <w:r>
              <w:rPr>
                <w:rFonts w:cs="Arial" w:ascii="Arial" w:hAnsi="Arial"/>
                <w:sz w:val="18"/>
                <w:szCs w:val="18"/>
              </w:rPr>
              <w:t>wartość docelowa szt.1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cs="Arial" w:ascii="Arial" w:hAnsi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KPI – 6:</w:t>
            </w:r>
            <w:r>
              <w:rPr>
                <w:rFonts w:cs="Arial" w:ascii="Arial" w:hAnsi="Arial"/>
                <w:sz w:val="18"/>
                <w:szCs w:val="18"/>
              </w:rPr>
              <w:t xml:space="preserve"> Liczba zdigitalizowanych dokumentów zawierających informacje sektora publicznego - wartość docelowa szt. 1228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cs="Arial" w:ascii="Arial" w:hAnsi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cs="Arial" w:ascii="Arial" w:hAnsi="Arial"/>
                <w:sz w:val="18"/>
                <w:szCs w:val="18"/>
              </w:rPr>
              <w:t>Rozmiar zdigitalizowanej informacji sektora publicznego - wartość docelowa 16 TB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09-2019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08-2021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08-2022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07-2022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10-2022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07-2023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07-2023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07-2023</w:t>
            </w:r>
          </w:p>
        </w:tc>
        <w:tc>
          <w:tcPr>
            <w:tcW w:w="1908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 xml:space="preserve">09-2019 </w:t>
            </w:r>
          </w:p>
        </w:tc>
        <w:tc>
          <w:tcPr>
            <w:tcW w:w="27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- osiągnięty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5"/>
        <w:gridCol w:w="1276"/>
        <w:gridCol w:w="1842"/>
        <w:gridCol w:w="1704"/>
        <w:gridCol w:w="2267"/>
      </w:tblGrid>
      <w:tr>
        <w:trPr>
          <w:tblHeader w:val="true"/>
        </w:trPr>
        <w:tc>
          <w:tcPr>
            <w:tcW w:w="254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Wartość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docelowa</w:t>
            </w:r>
          </w:p>
        </w:tc>
        <w:tc>
          <w:tcPr>
            <w:tcW w:w="170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rPr>
          <w:trHeight w:val="777" w:hRule="atLeast"/>
        </w:trPr>
        <w:tc>
          <w:tcPr>
            <w:tcW w:w="25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 w:val="false"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>Liczba zdigitalizowanych dokumentów zawierających informacje sektora publicznego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 xml:space="preserve"> Rozmiar zdigitalizowanej informacji sektora publicznego. Pomiar jednokrotny na zakończenie projektu.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szt./rok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6150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23000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1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1228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16 TB</w:t>
            </w:r>
          </w:p>
        </w:tc>
        <w:tc>
          <w:tcPr>
            <w:tcW w:w="17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E-usługi A2A, A2B, A2C</w:t>
      </w:r>
      <w:r>
        <w:rPr>
          <w:rFonts w:cs="Arial" w:ascii="Arial" w:hAnsi="Arial"/>
          <w:color w:val="auto"/>
        </w:rPr>
        <w:t xml:space="preserve"> </w:t>
      </w:r>
      <w:bookmarkStart w:id="1" w:name="_Hlk506932259"/>
      <w:r>
        <w:rPr>
          <w:rFonts w:cs="Arial" w:ascii="Arial" w:hAnsi="Arial"/>
          <w:sz w:val="20"/>
          <w:szCs w:val="20"/>
        </w:rPr>
        <w:t>&lt;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07"/>
        <w:gridCol w:w="1261"/>
        <w:gridCol w:w="1395"/>
        <w:gridCol w:w="4170"/>
      </w:tblGrid>
      <w:tr>
        <w:trPr>
          <w:tblHeader w:val="true"/>
        </w:trPr>
        <w:tc>
          <w:tcPr>
            <w:tcW w:w="280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0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8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  <w:tc>
          <w:tcPr>
            <w:tcW w:w="13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  <w:tc>
          <w:tcPr>
            <w:tcW w:w="4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0"/>
        <w:ind w:left="284" w:hanging="284"/>
        <w:rPr>
          <w:rStyle w:val="Nagwek3Znak"/>
          <w:rFonts w:ascii="Arial" w:hAnsi="Arial" w:eastAsia="Calibri" w:cs="Arial" w:eastAsiaTheme="minorHAnsi"/>
          <w:b/>
          <w:b/>
          <w:color w:val="0070C0"/>
          <w:sz w:val="26"/>
          <w:szCs w:val="26"/>
        </w:rPr>
      </w:pPr>
      <w:r>
        <w:rPr>
          <w:rStyle w:val="Nagwek3Znak"/>
          <w:rFonts w:eastAsia="Calibri" w:cs="Arial" w:ascii="Arial" w:hAnsi="Arial" w:eastAsiaTheme="minorHAnsi"/>
          <w:b/>
          <w:color w:val="auto"/>
        </w:rPr>
        <w:t>Udostępnione informacje sektora publicznego i zdigitalizowane zasoby</w:t>
      </w:r>
      <w:r>
        <w:rPr>
          <w:rStyle w:val="Nagwek3Znak"/>
          <w:rFonts w:eastAsia="Calibri" w:cs="Arial" w:ascii="Arial" w:hAnsi="Arial" w:eastAsiaTheme="minorHAnsi"/>
          <w:b/>
          <w:color w:val="auto"/>
          <w:sz w:val="26"/>
          <w:szCs w:val="26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6"/>
        <w:gridCol w:w="1261"/>
        <w:gridCol w:w="1395"/>
        <w:gridCol w:w="4141"/>
      </w:tblGrid>
      <w:tr>
        <w:trPr>
          <w:tblHeader w:val="true"/>
        </w:trPr>
        <w:tc>
          <w:tcPr>
            <w:tcW w:w="283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4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8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Zdigitalizowanie i udostępnienie: Dzieł Sztuki Nowoczesnej, Dzieł Sztuki Dawnej i materiałów audiowizualne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12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ind w:left="44" w:hanging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13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  <w:tc>
          <w:tcPr>
            <w:tcW w:w="41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</w:tr>
    </w:tbl>
    <w:p>
      <w:pPr>
        <w:pStyle w:val="Nagwek3"/>
        <w:numPr>
          <w:ilvl w:val="0"/>
          <w:numId w:val="1"/>
        </w:numPr>
        <w:spacing w:before="360" w:after="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cs="Arial" w:ascii="Arial" w:hAnsi="Arial"/>
          <w:color w:val="auto"/>
          <w:sz w:val="24"/>
          <w:szCs w:val="24"/>
        </w:rPr>
        <w:t xml:space="preserve"> (inne niż wskazane w pkt 4 i 5)</w:t>
      </w:r>
      <w:r>
        <w:rPr>
          <w:rFonts w:cs="Arial" w:ascii="Arial" w:hAnsi="Arial"/>
          <w:color w:val="auto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cs="Arial" w:ascii="Arial" w:hAnsi="Arial"/>
          <w:sz w:val="20"/>
          <w:szCs w:val="18"/>
        </w:rPr>
        <w:t xml:space="preserve"> 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7"/>
        <w:gridCol w:w="1700"/>
        <w:gridCol w:w="1843"/>
        <w:gridCol w:w="3543"/>
      </w:tblGrid>
      <w:tr>
        <w:trPr>
          <w:tblHeader w:val="true"/>
        </w:trPr>
        <w:tc>
          <w:tcPr>
            <w:tcW w:w="2547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ascii="Arial" w:hAnsi="Arial"/>
                <w:i w:val="false"/>
                <w:iCs w:val="false"/>
                <w:sz w:val="18"/>
                <w:szCs w:val="18"/>
              </w:rPr>
              <w:t>Publiczny Interfejs API dostępu do zasobów kultury</w:t>
            </w:r>
          </w:p>
          <w:p>
            <w:pPr>
              <w:pStyle w:val="Normal"/>
              <w:spacing w:lineRule="auto" w:line="240" w:before="0" w:after="0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cs="Calibri" w:ascii="Arial" w:hAnsi="Arial"/>
                <w:i w:val="false"/>
                <w:iCs w:val="false"/>
                <w:sz w:val="18"/>
                <w:szCs w:val="18"/>
              </w:rPr>
              <w:t xml:space="preserve">Oprogramowanie Systemu Muzealnego do ewidencji zasobów kultury </w:t>
            </w:r>
          </w:p>
          <w:p>
            <w:pPr>
              <w:pStyle w:val="Normal"/>
              <w:spacing w:lineRule="auto" w:line="240" w:before="0" w:after="0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i w:val="false"/>
                <w:i w:val="false"/>
                <w:iCs w:val="false"/>
                <w:strike w:val="false"/>
                <w:dstrike w:val="false"/>
                <w:sz w:val="18"/>
                <w:szCs w:val="18"/>
              </w:rPr>
            </w:pPr>
            <w:r>
              <w:rPr>
                <w:rFonts w:cs="Calibri" w:ascii="Arial" w:hAnsi="Arial"/>
                <w:i w:val="false"/>
                <w:iCs w:val="false"/>
                <w:strike w:val="false"/>
                <w:dstrike w:val="false"/>
                <w:sz w:val="18"/>
                <w:szCs w:val="18"/>
              </w:rPr>
              <w:t>Repozytorium Zdigitalizowanych Dzieł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lang w:eastAsia="pl-PL"/>
              </w:rPr>
              <w:t>07-2023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color w:val="0070C0"/>
                <w:sz w:val="18"/>
                <w:szCs w:val="18"/>
              </w:rPr>
            </w:r>
          </w:p>
        </w:tc>
        <w:tc>
          <w:tcPr>
            <w:tcW w:w="3543" w:type="dxa"/>
            <w:tcBorders/>
            <w:shd w:fill="auto" w:val="clear"/>
          </w:tcPr>
          <w:p>
            <w:pPr>
              <w:pStyle w:val="LO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O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O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>System Muzealny będzie zawierał moduł  pozwalający na dostarczenie z bazy danych zdigitalizowanych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Ryzyka</w:t>
      </w:r>
      <w:r>
        <w:rPr>
          <w:rStyle w:val="Nagwek3Znak"/>
          <w:rFonts w:cs="Arial" w:ascii="Arial" w:hAnsi="Arial"/>
          <w:b/>
          <w:color w:val="auto"/>
        </w:rPr>
        <w:t xml:space="preserve"> </w:t>
      </w:r>
      <w:r>
        <w:rPr>
          <w:rFonts w:cs="Arial" w:ascii="Arial" w:hAnsi="Arial"/>
          <w:color w:val="0070C0"/>
        </w:rPr>
        <w:t xml:space="preserve"> 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p>
      <w:pPr>
        <w:pStyle w:val="Normal"/>
        <w:spacing w:before="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2"/>
        <w:gridCol w:w="1688"/>
        <w:gridCol w:w="2293"/>
        <w:gridCol w:w="2364"/>
      </w:tblGrid>
      <w:tr>
        <w:trPr>
          <w:tblHeader w:val="true"/>
        </w:trPr>
        <w:tc>
          <w:tcPr>
            <w:tcW w:w="315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Sposób zarządzania ryzykiem</w:t>
            </w:r>
          </w:p>
        </w:tc>
      </w:tr>
      <w:tr>
        <w:trPr/>
        <w:tc>
          <w:tcPr>
            <w:tcW w:w="31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Opory dotyczące wymiany informacji podczas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Zmiana przepisów dotyczących procesów jednostki (muzeum)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Zmiana przepisów dotyczących Praw autorskich i danych wrażliwych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Zmiany zakresu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Ryzyko przekroczenia budżetu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Opóźnienia przy realizacji zamówień publicznych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Związane z przekroczeniem harmonogramu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Niedotrzymywanie terminów wykonania zleceń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Ryzyko związane z tzw. czynnikiem ludzkim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Zmiana celów w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2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Średnie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23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wprowadzenie polityki informacyjnej wewnątrz jednostki - informowanie, czyli dokładne wyjaśnienie, na czym polegają zmiany i w czym mogą pomóc (usprawnić działanie jednostki).</w:t>
            </w:r>
            <w:r>
              <w:rPr>
                <w:rFonts w:cs="Calibri" w:ascii="Arial" w:hAnsi="Arial"/>
                <w:sz w:val="18"/>
                <w:szCs w:val="18"/>
              </w:rPr>
              <w:br/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wyeliminowanie oporów dotyczących wymiany informacji podczas realizacji.</w:t>
              <w:br/>
              <w:t>3. czy nastąpiła zmiana w zakresie danego ryzyka w stosunku do poprzedniego okresu sprawozdawczego: nie dotyczy.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bookmarkStart w:id="2" w:name="__DdeLink__7751_2756344845"/>
            <w:bookmarkEnd w:id="2"/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monitorowanie aktualnych przepisów, dostosowywanie oprogramowania.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dostosowanie projektu do zmieniających się przepisów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dotyczy.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  <w:bookmarkStart w:id="3" w:name="__DdeLink__7751_27563448451"/>
            <w:bookmarkStart w:id="4" w:name="__DdeLink__7751_27563448451"/>
            <w:bookmarkEnd w:id="4"/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monitorowanie aktualnych przepisów, dostosowywanie oprogramowania.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dostosowanie projektu do zmieniających się przepisów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dotyczy.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</w:rPr>
            </w:pPr>
            <w:r>
              <w:rPr>
                <w:rFonts w:cs="Calibri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</w:rPr>
            </w:pPr>
            <w:r>
              <w:rPr>
                <w:rFonts w:cs="Calibri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ryzyko to będzie eliminowane poprzez stały i staranny monitoring budżetu projektu.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w przypadku przekroczenia kosztów zawartych w poszczególnych zadaniach zostanie zaangażowana rezerwa finansowa przewidziana w projekcie.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dotyczy.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brak opóźnień przy realizacji zamówień publicznych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dotyczy.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realizacja zadań zgodnie z harmonogramem projektu.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dotyczy.</w:t>
            </w: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brak zmian kadrowych w zespole projektówym.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dotyczy.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Calibri" w:ascii="Arial" w:hAnsi="Arial"/>
                <w:sz w:val="18"/>
                <w:szCs w:val="18"/>
              </w:rPr>
              <w:t>brak zmian celów w trakcie trwania projektu.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dotyczy.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260"/>
        <w:gridCol w:w="1701"/>
        <w:gridCol w:w="2125"/>
        <w:gridCol w:w="2693"/>
      </w:tblGrid>
      <w:tr>
        <w:trPr>
          <w:trHeight w:val="724" w:hRule="atLeast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MS MinNew Roman" w:cs="Arial"/>
                <w:b/>
                <w:b/>
                <w:bCs/>
                <w:sz w:val="20"/>
              </w:rPr>
            </w:pPr>
            <w:r>
              <w:rPr>
                <w:rFonts w:eastAsia="MS MinNew Roman" w:cs="Arial" w:ascii="Arial" w:hAnsi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Caption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Sposób zarzadzania ryzykiem</w:t>
            </w:r>
          </w:p>
        </w:tc>
      </w:tr>
      <w:tr>
        <w:trPr>
          <w:trHeight w:val="724" w:hRule="atLeast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Uzależnienie dalszych prac od wykonawcy (vendor lock-in)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Awarie modułów oprogramowania i serwerowni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Cyberataki w internecie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Modyfikacja zgromadzonych danych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Zwiększony ruch na stronie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before="0" w:after="1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sz w:val="18"/>
                <w:szCs w:val="18"/>
                <w:lang w:eastAsia="pl-PL"/>
              </w:rPr>
              <w:t>Średnie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Średnie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Niskie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Średnie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Średnie</w:t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>
            <w:pPr>
              <w:pStyle w:val="Normal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Planuje się użycie obecnie istniejącej bazy danych tylko w minimalnym stopniu - do umieszczania i prezentowania dzieł on-line, które zostaną zdigitalizowane i umieszczone w nowym oprogramowaniu Systemu Muzealnego. Nie występuje ryzyko dublowania danych - dane w bazie portalu on-line mają charakter reprezentacyjny - informacyjny.</w:t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60"/>
        <w:contextualSpacing/>
        <w:jc w:val="both"/>
        <w:rPr>
          <w:rStyle w:val="Nagwek2Znak"/>
          <w:rFonts w:ascii="Arial" w:hAnsi="Arial" w:eastAsia="Calibri" w:cs="Arial" w:eastAsiaTheme="minorHAnsi"/>
          <w:b/>
          <w:b/>
          <w:color w:val="auto"/>
          <w:sz w:val="24"/>
          <w:szCs w:val="24"/>
        </w:rPr>
      </w:pPr>
      <w:r>
        <w:rPr>
          <w:rStyle w:val="Nagwek2Znak"/>
          <w:rFonts w:eastAsia="Calibri" w:cs="Arial" w:ascii="Arial" w:hAnsi="Arial" w:eastAsiaTheme="minorHAnsi"/>
          <w:b/>
          <w:color w:val="auto"/>
          <w:sz w:val="24"/>
          <w:szCs w:val="24"/>
        </w:rPr>
        <w:t>Wymiarowanie systemu informatycznego</w:t>
      </w:r>
    </w:p>
    <w:p>
      <w:pPr>
        <w:pStyle w:val="Normal"/>
        <w:spacing w:lineRule="auto" w:line="240" w:before="0" w:after="0"/>
        <w:jc w:val="both"/>
        <w:rPr>
          <w:rStyle w:val="Nagwek2Znak"/>
          <w:rFonts w:ascii="Arial" w:hAnsi="Arial" w:eastAsia="Times New Roman" w:cs="Arial"/>
          <w:color w:val="auto"/>
          <w:sz w:val="18"/>
          <w:szCs w:val="18"/>
          <w:lang w:eastAsia="pl-PL"/>
        </w:rPr>
      </w:pPr>
      <w:r>
        <w:rPr>
          <w:rFonts w:cs="Arial" w:ascii="Arial" w:hAnsi="Arial"/>
          <w:sz w:val="18"/>
          <w:szCs w:val="18"/>
        </w:rPr>
        <w:t>Nie dotyczy.</w:t>
      </w:r>
    </w:p>
    <w:p>
      <w:pPr>
        <w:pStyle w:val="ListParagraph"/>
        <w:numPr>
          <w:ilvl w:val="0"/>
          <w:numId w:val="1"/>
        </w:numPr>
        <w:spacing w:before="360" w:after="160"/>
        <w:contextualSpacing/>
        <w:jc w:val="both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Dane kontaktowe:</w:t>
      </w:r>
      <w:r>
        <w:rPr>
          <w:rFonts w:cs="Arial" w:ascii="Arial" w:hAnsi="Arial"/>
          <w:b/>
        </w:rPr>
        <w:t xml:space="preserve"> </w:t>
      </w:r>
      <w:bookmarkStart w:id="5" w:name="_Hlk18274129"/>
      <w:r>
        <w:rPr>
          <w:rFonts w:cs="Arial" w:ascii="Arial" w:hAnsi="Arial"/>
        </w:rPr>
        <w:t xml:space="preserve">Emilia Antosz, Muzeum Sztuki w Łodzi, </w:t>
      </w:r>
      <w:hyperlink r:id="rId2">
        <w:r>
          <w:rPr>
            <w:rStyle w:val="Czeinternetowe"/>
            <w:rFonts w:cs="Arial" w:ascii="Arial" w:hAnsi="Arial"/>
          </w:rPr>
          <w:t>e.antosz@msl.org.pl</w:t>
        </w:r>
      </w:hyperlink>
      <w:r>
        <w:rPr>
          <w:rFonts w:cs="Arial" w:ascii="Arial" w:hAnsi="Arial"/>
        </w:rPr>
        <w:t xml:space="preserve"> tel. 531 621 813 </w:t>
      </w:r>
      <w:bookmarkEnd w:id="5"/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/>
      </w:pPr>
      <w:r>
        <w:rPr/>
      </w:r>
    </w:p>
    <w:sectPr>
      <w:footerReference w:type="default" r:id="rId3"/>
      <w:footnotePr>
        <w:numFmt w:val="decimal"/>
      </w:footnotePr>
      <w:type w:val="nextPage"/>
      <w:pgSz w:w="11906" w:h="16838"/>
      <w:pgMar w:left="1416" w:right="1416" w:header="0" w:top="1416" w:footer="709" w:bottom="1417" w:gutter="0"/>
      <w:pgBorders w:display="allPages"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033485141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8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</w:rPr>
          <w:t>5</w:t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Sekcja dotyczy projektów realizowanych ze środków UE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4"/>
        <w:i w:val="false"/>
        <w:b/>
        <w:szCs w:val="26"/>
        <w:rFonts w:ascii="Arial" w:hAnsi="Arial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3bec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9e4c6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9e4c6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0f30b9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nhideWhenUsed/>
    <w:qFormat/>
    <w:rsid w:val="001c2d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1c2d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bb2420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bb2420"/>
    <w:rPr>
      <w:vertAlign w:val="superscript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0f30b9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c77b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5c77bb"/>
    <w:rPr/>
  </w:style>
  <w:style w:type="character" w:styleId="BodyText1Char" w:customStyle="1">
    <w:name w:val="Body Text 1 Char"/>
    <w:basedOn w:val="DefaultParagraphFont"/>
    <w:link w:val="BodyText1"/>
    <w:qFormat/>
    <w:rsid w:val="002b6f21"/>
    <w:rPr>
      <w:rFonts w:ascii="Arial" w:hAnsi="Arial" w:eastAsia="Times New Roman" w:cs="Arial"/>
      <w:b/>
      <w:iCs/>
      <w:color w:val="0070C0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6a60aa"/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e1643"/>
    <w:rPr/>
  </w:style>
  <w:style w:type="character" w:styleId="Czeinternetowe">
    <w:name w:val="Łącze internetowe"/>
    <w:basedOn w:val="DefaultParagraphFont"/>
    <w:uiPriority w:val="99"/>
    <w:unhideWhenUsed/>
    <w:rsid w:val="00d67aa2"/>
    <w:rPr>
      <w:color w:val="0563C1" w:themeColor="hyperlink"/>
      <w:u w:val="single"/>
    </w:rPr>
  </w:style>
  <w:style w:type="character" w:styleId="ListLabel1">
    <w:name w:val="ListLabel 1"/>
    <w:qFormat/>
    <w:rPr>
      <w:i w:val="false"/>
      <w:color w:val="auto"/>
    </w:rPr>
  </w:style>
  <w:style w:type="character" w:styleId="ListLabel2">
    <w:name w:val="ListLabel 2"/>
    <w:qFormat/>
    <w:rPr>
      <w:i w:val="false"/>
      <w:color w:val="auto"/>
    </w:rPr>
  </w:style>
  <w:style w:type="character" w:styleId="ListLabel3">
    <w:name w:val="ListLabel 3"/>
    <w:qFormat/>
    <w:rPr>
      <w:i w:val="false"/>
      <w:color w:val="auto"/>
    </w:rPr>
  </w:style>
  <w:style w:type="character" w:styleId="ListLabel4">
    <w:name w:val="ListLabel 4"/>
    <w:qFormat/>
    <w:rPr>
      <w:rFonts w:eastAsia="Calibri" w:cs="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alibri Light"/>
      <w:i w:val="false"/>
      <w:sz w:val="22"/>
      <w:szCs w:val="22"/>
    </w:rPr>
  </w:style>
  <w:style w:type="character" w:styleId="ListLabel9">
    <w:name w:val="ListLabel 9"/>
    <w:qFormat/>
    <w:rPr>
      <w:i w:val="false"/>
      <w:color w:val="auto"/>
    </w:rPr>
  </w:style>
  <w:style w:type="character" w:styleId="ListLabel10">
    <w:name w:val="ListLabel 10"/>
    <w:qFormat/>
    <w:rPr>
      <w:i w:val="false"/>
      <w:color w:val="auto"/>
    </w:rPr>
  </w:style>
  <w:style w:type="character" w:styleId="ListLabel11">
    <w:name w:val="ListLabel 11"/>
    <w:qFormat/>
    <w:rPr>
      <w:i w:val="false"/>
      <w:color w:val="auto"/>
    </w:rPr>
  </w:style>
  <w:style w:type="character" w:styleId="ListLabel12">
    <w:name w:val="ListLabel 12"/>
    <w:qFormat/>
    <w:rPr>
      <w:rFonts w:cs="Calibri Light"/>
      <w:i w:val="false"/>
      <w:sz w:val="22"/>
      <w:szCs w:val="22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"/>
      <w:b/>
      <w:i w:val="false"/>
      <w:color w:val="0070C0"/>
    </w:rPr>
  </w:style>
  <w:style w:type="character" w:styleId="ListLabel17">
    <w:name w:val="ListLabel 17"/>
    <w:qFormat/>
    <w:rPr>
      <w:rFonts w:eastAsia=""/>
      <w:b/>
      <w:i w:val="false"/>
      <w:color w:val="0070C0"/>
    </w:rPr>
  </w:style>
  <w:style w:type="character" w:styleId="ListLabel18">
    <w:name w:val="ListLabel 18"/>
    <w:qFormat/>
    <w:rPr>
      <w:rFonts w:eastAsia=""/>
      <w:b/>
      <w:i w:val="false"/>
      <w:color w:val="0070C0"/>
    </w:rPr>
  </w:style>
  <w:style w:type="character" w:styleId="ListLabel19">
    <w:name w:val="ListLabel 19"/>
    <w:qFormat/>
    <w:rPr>
      <w:rFonts w:eastAsia=""/>
      <w:b/>
      <w:i w:val="false"/>
      <w:color w:val="2E74B5"/>
      <w:sz w:val="26"/>
      <w:szCs w:val="26"/>
    </w:rPr>
  </w:style>
  <w:style w:type="character" w:styleId="ListLabel20">
    <w:name w:val="ListLabel 20"/>
    <w:qFormat/>
    <w:rPr>
      <w:b/>
      <w:i w:val="false"/>
      <w:color w:val="2E74B5"/>
      <w:sz w:val="26"/>
      <w:szCs w:val="26"/>
    </w:rPr>
  </w:style>
  <w:style w:type="character" w:styleId="ListLabel21">
    <w:name w:val="ListLabel 21"/>
    <w:qFormat/>
    <w:rPr>
      <w:rFonts w:ascii="Arial" w:hAnsi="Arial"/>
      <w:b/>
      <w:i w:val="false"/>
      <w:color w:val="auto"/>
      <w:sz w:val="24"/>
      <w:szCs w:val="26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ascii="Arial" w:hAnsi="Arial" w:cs="Arial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26">
    <w:name w:val="ListLabel 26"/>
    <w:qFormat/>
    <w:rPr>
      <w:rFonts w:ascii="Arial" w:hAnsi="Arial"/>
      <w:b/>
      <w:i w:val="false"/>
      <w:color w:val="auto"/>
      <w:sz w:val="24"/>
      <w:szCs w:val="26"/>
    </w:rPr>
  </w:style>
  <w:style w:type="character" w:styleId="ListLabel27">
    <w:name w:val="ListLabel 27"/>
    <w:qFormat/>
    <w:rPr>
      <w:rFonts w:ascii="Arial" w:hAnsi="Arial" w:cs="Arial"/>
    </w:rPr>
  </w:style>
  <w:style w:type="character" w:styleId="ListLabel28">
    <w:name w:val="ListLabel 28"/>
    <w:qFormat/>
    <w:rPr>
      <w:rFonts w:ascii="Arial" w:hAnsi="Arial"/>
      <w:b/>
      <w:i w:val="false"/>
      <w:color w:val="auto"/>
      <w:sz w:val="24"/>
      <w:szCs w:val="26"/>
    </w:rPr>
  </w:style>
  <w:style w:type="character" w:styleId="ListLabel29">
    <w:name w:val="ListLabel 29"/>
    <w:qFormat/>
    <w:rPr>
      <w:rFonts w:ascii="Arial" w:hAnsi="Arial" w:cs="Arial"/>
    </w:rPr>
  </w:style>
  <w:style w:type="character" w:styleId="ListLabel30">
    <w:name w:val="ListLabel 30"/>
    <w:qFormat/>
    <w:rPr>
      <w:rFonts w:ascii="Arial" w:hAnsi="Arial"/>
      <w:b/>
      <w:i w:val="false"/>
      <w:color w:val="auto"/>
      <w:sz w:val="24"/>
      <w:szCs w:val="26"/>
    </w:rPr>
  </w:style>
  <w:style w:type="character" w:styleId="ListLabel31">
    <w:name w:val="ListLabel 31"/>
    <w:qFormat/>
    <w:rPr>
      <w:rFonts w:ascii="Arial" w:hAnsi="Arial" w:cs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ae1643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7418f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1c2d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c2d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c2d7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bb2420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1blueitalic" w:customStyle="1">
    <w:name w:val="Body text 1 + blue + italic"/>
    <w:basedOn w:val="Normal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"/>
    <w:link w:val="BodyText1Char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Arial" w:hAnsi="Arial" w:eastAsia="Times New Roman" w:cs="Arial"/>
      <w:b/>
      <w:iCs/>
      <w:color w:val="0070C0"/>
    </w:rPr>
  </w:style>
  <w:style w:type="paragraph" w:styleId="BodyText2">
    <w:name w:val="Body Text 2"/>
    <w:basedOn w:val="Normal"/>
    <w:link w:val="Tekstpodstawowy2Znak"/>
    <w:qFormat/>
    <w:rsid w:val="006a60aa"/>
    <w:pPr>
      <w:spacing w:lineRule="auto" w:line="240" w:before="0" w:after="120"/>
      <w:ind w:left="900" w:hanging="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1332c"/>
    <w:pPr>
      <w:widowControl w:val="false"/>
      <w:suppressAutoHyphens w:val="true"/>
      <w:spacing w:lineRule="auto" w:line="240" w:before="0" w:after="0"/>
    </w:pPr>
    <w:rPr>
      <w:rFonts w:ascii="Times New Roman" w:hAnsi="Times New Roman" w:eastAsia="Arial Unicode MS" w:cs="Times New Roman"/>
      <w:b/>
      <w:bCs/>
      <w:kern w:val="2"/>
      <w:sz w:val="24"/>
      <w:szCs w:val="24"/>
    </w:rPr>
  </w:style>
  <w:style w:type="paragraph" w:styleId="LOnormal">
    <w:name w:val="LO-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.antosz@msl.org.pl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48828-D30C-4D60-A3C4-0119B9B6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LibreOffice/6.2.2.2$Windows_x86 LibreOffice_project/2b840030fec2aae0fd2658d8d4f9548af4e3518d</Application>
  <Pages>8</Pages>
  <Words>1346</Words>
  <Characters>9384</Characters>
  <CharactersWithSpaces>10511</CharactersWithSpaces>
  <Paragraphs>247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2020-10-14T07:17:00Z</dcterms:created>
  <dc:creator/>
  <dc:description/>
  <dc:language>pl-PL</dc:language>
  <cp:lastModifiedBy/>
  <dcterms:modified xsi:type="dcterms:W3CDTF">2020-11-25T13:19:50Z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